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9F3" w:rsidRDefault="005A63DE">
      <w:r>
        <w:rPr>
          <w:rFonts w:ascii="Arial" w:hAnsi="Arial" w:cs="Arial"/>
          <w:noProof/>
          <w:sz w:val="24"/>
          <w:szCs w:val="24"/>
          <w:lang w:eastAsia="de-DE"/>
        </w:rPr>
        <w:drawing>
          <wp:inline distT="0" distB="0" distL="0" distR="0" wp14:anchorId="0B8B4794" wp14:editId="7945ACEA">
            <wp:extent cx="1419225" cy="1981200"/>
            <wp:effectExtent l="0" t="0" r="9525" b="0"/>
            <wp:docPr id="1" name="Picture 1" descr="L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 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1981200"/>
                    </a:xfrm>
                    <a:prstGeom prst="rect">
                      <a:avLst/>
                    </a:prstGeom>
                    <a:noFill/>
                    <a:ln>
                      <a:noFill/>
                    </a:ln>
                  </pic:spPr>
                </pic:pic>
              </a:graphicData>
            </a:graphic>
          </wp:inline>
        </w:drawing>
      </w:r>
      <w:bookmarkStart w:id="0" w:name="_GoBack"/>
      <w:bookmarkEnd w:id="0"/>
    </w:p>
    <w:p w:rsidR="00FE1815" w:rsidRDefault="00FE1815"/>
    <w:p w:rsidR="00FE1815" w:rsidRDefault="00FE1815"/>
    <w:p w:rsidR="00FE1815" w:rsidRPr="00FE1815" w:rsidRDefault="00FE1815">
      <w:pPr>
        <w:rPr>
          <w:b/>
          <w:u w:val="single"/>
          <w:lang w:val="en-GB"/>
        </w:rPr>
      </w:pPr>
      <w:r w:rsidRPr="00FE1815">
        <w:rPr>
          <w:b/>
          <w:u w:val="single"/>
          <w:lang w:val="en-GB"/>
        </w:rPr>
        <w:t>Expenditure Policy Little Paxton Village Hall (LPVH)</w:t>
      </w:r>
    </w:p>
    <w:p w:rsidR="00FE1815" w:rsidRPr="00E03971" w:rsidRDefault="002C040C">
      <w:pPr>
        <w:rPr>
          <w:lang w:val="en-GB"/>
        </w:rPr>
      </w:pPr>
      <w:r>
        <w:rPr>
          <w:lang w:val="en-GB"/>
        </w:rPr>
        <w:t>Reference Number – LPVHFIN2</w:t>
      </w:r>
      <w:r w:rsidR="005C3F3C">
        <w:rPr>
          <w:lang w:val="en-GB"/>
        </w:rPr>
        <w:t xml:space="preserve">     Date January 1, 2018</w:t>
      </w:r>
    </w:p>
    <w:p w:rsidR="00FE1815" w:rsidRDefault="00FE1815">
      <w:pPr>
        <w:rPr>
          <w:lang w:val="en-GB"/>
        </w:rPr>
      </w:pPr>
      <w:r>
        <w:rPr>
          <w:b/>
          <w:lang w:val="en-GB"/>
        </w:rPr>
        <w:t>Key Objectives</w:t>
      </w:r>
      <w:r w:rsidRPr="00FE1815">
        <w:rPr>
          <w:b/>
          <w:lang w:val="en-GB"/>
        </w:rPr>
        <w:t>:</w:t>
      </w:r>
      <w:r w:rsidRPr="00FE1815">
        <w:rPr>
          <w:lang w:val="en-GB"/>
        </w:rPr>
        <w:t xml:space="preserve"> To ensure that all expenditure is </w:t>
      </w:r>
      <w:r>
        <w:rPr>
          <w:lang w:val="en-GB"/>
        </w:rPr>
        <w:t>related to the village hall business, is properly authorised, adequately documented, correctly recorded and is in compliance with the regulations of the LPVH constitution and the relevan</w:t>
      </w:r>
      <w:r w:rsidR="00E54CA8">
        <w:rPr>
          <w:lang w:val="en-GB"/>
        </w:rPr>
        <w:t>t Charity Commission guidelines.</w:t>
      </w:r>
    </w:p>
    <w:p w:rsidR="00B04FFE" w:rsidRDefault="00FE1815">
      <w:pPr>
        <w:rPr>
          <w:lang w:val="en-GB"/>
        </w:rPr>
      </w:pPr>
      <w:r w:rsidRPr="00FE1815">
        <w:rPr>
          <w:b/>
          <w:lang w:val="en-GB"/>
        </w:rPr>
        <w:t>Expenditure types:</w:t>
      </w:r>
      <w:r>
        <w:rPr>
          <w:lang w:val="en-GB"/>
        </w:rPr>
        <w:t xml:space="preserve"> For the LPVH</w:t>
      </w:r>
      <w:r w:rsidR="00C73E94">
        <w:rPr>
          <w:lang w:val="en-GB"/>
        </w:rPr>
        <w:t xml:space="preserve"> expenditure will fall into one of three categories. A. Recurring operational</w:t>
      </w:r>
      <w:r w:rsidR="00B04FFE">
        <w:rPr>
          <w:lang w:val="en-GB"/>
        </w:rPr>
        <w:t xml:space="preserve"> expenditure</w:t>
      </w:r>
      <w:r w:rsidR="00C73E94">
        <w:rPr>
          <w:lang w:val="en-GB"/>
        </w:rPr>
        <w:t xml:space="preserve"> such as </w:t>
      </w:r>
      <w:r w:rsidR="00B04FFE">
        <w:rPr>
          <w:lang w:val="en-GB"/>
        </w:rPr>
        <w:t>cleaning, utilities, routine maintenance,</w:t>
      </w:r>
      <w:r w:rsidR="004E217F">
        <w:rPr>
          <w:lang w:val="en-GB"/>
        </w:rPr>
        <w:t xml:space="preserve"> </w:t>
      </w:r>
      <w:proofErr w:type="spellStart"/>
      <w:r w:rsidR="004E217F">
        <w:rPr>
          <w:lang w:val="en-GB"/>
        </w:rPr>
        <w:t>etc</w:t>
      </w:r>
      <w:proofErr w:type="spellEnd"/>
      <w:r w:rsidR="004E217F">
        <w:rPr>
          <w:lang w:val="en-GB"/>
        </w:rPr>
        <w:t xml:space="preserve"> B. Non routine </w:t>
      </w:r>
      <w:r w:rsidR="00B04FFE">
        <w:rPr>
          <w:lang w:val="en-GB"/>
        </w:rPr>
        <w:t xml:space="preserve">expenditure </w:t>
      </w:r>
      <w:r w:rsidR="004E217F">
        <w:rPr>
          <w:lang w:val="en-GB"/>
        </w:rPr>
        <w:t xml:space="preserve">such as </w:t>
      </w:r>
      <w:r w:rsidR="00B04FFE">
        <w:rPr>
          <w:lang w:val="en-GB"/>
        </w:rPr>
        <w:t xml:space="preserve">building improvements or one off upgrades to facilities and C. Unplanned expenditure such as </w:t>
      </w:r>
      <w:r w:rsidR="004E217F">
        <w:rPr>
          <w:lang w:val="en-GB"/>
        </w:rPr>
        <w:t>emergency repairs</w:t>
      </w:r>
      <w:r w:rsidR="00B04FFE">
        <w:rPr>
          <w:lang w:val="en-GB"/>
        </w:rPr>
        <w:t xml:space="preserve">. Categories A and B should both be planned as part of the annual budget process occurring each December. The former will be the operational budget and the latter the CAPEX (capital expenditure) budget where a sum for the year will be approved and the actual projects which will use that budget </w:t>
      </w:r>
      <w:r w:rsidR="00835835">
        <w:rPr>
          <w:lang w:val="en-GB"/>
        </w:rPr>
        <w:t>will</w:t>
      </w:r>
      <w:r w:rsidR="00E54CA8">
        <w:rPr>
          <w:lang w:val="en-GB"/>
        </w:rPr>
        <w:t xml:space="preserve"> be</w:t>
      </w:r>
      <w:r w:rsidR="00835835">
        <w:rPr>
          <w:lang w:val="en-GB"/>
        </w:rPr>
        <w:t xml:space="preserve"> signed off during the year. Category C will be handled as the need arises and will not be budgeted.</w:t>
      </w:r>
    </w:p>
    <w:p w:rsidR="00835835" w:rsidRDefault="00835835">
      <w:pPr>
        <w:rPr>
          <w:lang w:val="en-GB"/>
        </w:rPr>
      </w:pPr>
      <w:r w:rsidRPr="00835835">
        <w:rPr>
          <w:b/>
          <w:lang w:val="en-GB"/>
        </w:rPr>
        <w:t>Policy:</w:t>
      </w:r>
      <w:r>
        <w:rPr>
          <w:lang w:val="en-GB"/>
        </w:rPr>
        <w:t xml:space="preserve"> The policy will focus on the key financial controls of </w:t>
      </w:r>
      <w:r w:rsidR="00F3285F">
        <w:rPr>
          <w:lang w:val="en-GB"/>
        </w:rPr>
        <w:t xml:space="preserve">management involvement, </w:t>
      </w:r>
      <w:r>
        <w:rPr>
          <w:lang w:val="en-GB"/>
        </w:rPr>
        <w:t>separation of duties</w:t>
      </w:r>
      <w:r w:rsidR="00F3285F">
        <w:rPr>
          <w:lang w:val="en-GB"/>
        </w:rPr>
        <w:t>, review of controls</w:t>
      </w:r>
      <w:r>
        <w:rPr>
          <w:lang w:val="en-GB"/>
        </w:rPr>
        <w:t xml:space="preserve"> and the prevention of any transaction being controlled by one person from start to finish.</w:t>
      </w:r>
      <w:r w:rsidR="00244665">
        <w:rPr>
          <w:lang w:val="en-GB"/>
        </w:rPr>
        <w:t xml:space="preserve"> </w:t>
      </w:r>
      <w:r w:rsidR="00E03971">
        <w:rPr>
          <w:lang w:val="en-GB"/>
        </w:rPr>
        <w:t>The policy will cover the five areas outlined in the objectives above</w:t>
      </w:r>
    </w:p>
    <w:p w:rsidR="00E03971" w:rsidRPr="00A963D7" w:rsidRDefault="00E03971">
      <w:pPr>
        <w:rPr>
          <w:lang w:val="en-GB"/>
        </w:rPr>
      </w:pPr>
      <w:r w:rsidRPr="002C040C">
        <w:rPr>
          <w:b/>
          <w:lang w:val="en-GB"/>
        </w:rPr>
        <w:t>Appropriate:</w:t>
      </w:r>
      <w:r>
        <w:rPr>
          <w:lang w:val="en-GB"/>
        </w:rPr>
        <w:t xml:space="preserve"> Any expenditure incurred must be solely for the benefit of the charity. The annual budget provides guidelines as to the expenditure categories expected</w:t>
      </w:r>
      <w:r w:rsidR="003D5BDE">
        <w:rPr>
          <w:lang w:val="en-GB"/>
        </w:rPr>
        <w:t xml:space="preserve"> to be incurred</w:t>
      </w:r>
      <w:r>
        <w:rPr>
          <w:lang w:val="en-GB"/>
        </w:rPr>
        <w:t xml:space="preserve"> and any expenditure requested outside these categories should be brought to the general meeting and voted on in advance. </w:t>
      </w:r>
      <w:r w:rsidR="002C040C">
        <w:rPr>
          <w:lang w:val="en-GB"/>
        </w:rPr>
        <w:t>For expenses exceeding 350</w:t>
      </w:r>
      <w:r w:rsidR="00024D28">
        <w:rPr>
          <w:lang w:val="en-GB"/>
        </w:rPr>
        <w:t xml:space="preserve"> three independent quotes should be gathered before the expenditure is authorised. </w:t>
      </w:r>
      <w:r w:rsidR="00A963D7" w:rsidRPr="00A963D7">
        <w:rPr>
          <w:lang w:val="en-GB"/>
        </w:rPr>
        <w:t>Value for money is to be ensured for all expenditure</w:t>
      </w:r>
      <w:r w:rsidR="00A963D7" w:rsidRPr="00A963D7">
        <w:rPr>
          <w:lang w:val="en-GB"/>
        </w:rPr>
        <w:t>.</w:t>
      </w:r>
      <w:r w:rsidR="00A963D7">
        <w:rPr>
          <w:rFonts w:ascii="Arial" w:hAnsi="Arial" w:cs="Arial"/>
          <w:color w:val="222222"/>
          <w:sz w:val="19"/>
          <w:szCs w:val="19"/>
          <w:shd w:val="clear" w:color="auto" w:fill="FFFFFF"/>
          <w:lang w:val="en-GB"/>
        </w:rPr>
        <w:t xml:space="preserve"> </w:t>
      </w:r>
      <w:r w:rsidR="00A963D7">
        <w:rPr>
          <w:lang w:val="en-GB"/>
        </w:rPr>
        <w:t>For expenses below 350</w:t>
      </w:r>
      <w:r w:rsidR="00A963D7" w:rsidRPr="00A963D7">
        <w:rPr>
          <w:lang w:val="en-GB"/>
        </w:rPr>
        <w:t xml:space="preserve"> Trustees are to apply their own judgement and </w:t>
      </w:r>
      <w:r w:rsidR="00A963D7">
        <w:rPr>
          <w:lang w:val="en-GB"/>
        </w:rPr>
        <w:t xml:space="preserve">use </w:t>
      </w:r>
      <w:r w:rsidR="00A963D7" w:rsidRPr="00A963D7">
        <w:rPr>
          <w:lang w:val="en-GB"/>
        </w:rPr>
        <w:t>simple mechanisms such as an internet price comparison</w:t>
      </w:r>
      <w:r w:rsidR="00A963D7">
        <w:rPr>
          <w:lang w:val="en-GB"/>
        </w:rPr>
        <w:t>s</w:t>
      </w:r>
      <w:r w:rsidR="00A963D7" w:rsidRPr="00A963D7">
        <w:rPr>
          <w:lang w:val="en-GB"/>
        </w:rPr>
        <w:t>.</w:t>
      </w:r>
      <w:r w:rsidR="00A963D7" w:rsidRPr="00A963D7">
        <w:rPr>
          <w:lang w:val="en-GB"/>
        </w:rPr>
        <w:t xml:space="preserve"> </w:t>
      </w:r>
      <w:r w:rsidR="00A963D7">
        <w:rPr>
          <w:lang w:val="en-GB"/>
        </w:rPr>
        <w:t>All CAPEX expenditure will require three quotations.</w:t>
      </w:r>
    </w:p>
    <w:p w:rsidR="002C040C" w:rsidRPr="006D1D42" w:rsidRDefault="00E03971">
      <w:pPr>
        <w:rPr>
          <w:lang w:val="en-GB"/>
        </w:rPr>
      </w:pPr>
      <w:r w:rsidRPr="002C040C">
        <w:rPr>
          <w:b/>
          <w:lang w:val="en-GB"/>
        </w:rPr>
        <w:t>Authorised:</w:t>
      </w:r>
      <w:r w:rsidR="003D5BDE">
        <w:rPr>
          <w:lang w:val="en-GB"/>
        </w:rPr>
        <w:t xml:space="preserve"> All expenditure is “authorised” through the budget approval</w:t>
      </w:r>
      <w:r w:rsidR="002C040C">
        <w:rPr>
          <w:lang w:val="en-GB"/>
        </w:rPr>
        <w:t xml:space="preserve">. </w:t>
      </w:r>
      <w:r w:rsidR="002C040C" w:rsidRPr="006D1D42">
        <w:rPr>
          <w:lang w:val="en-GB"/>
        </w:rPr>
        <w:t>F</w:t>
      </w:r>
      <w:r w:rsidR="00A24921" w:rsidRPr="006D1D42">
        <w:rPr>
          <w:lang w:val="en-GB"/>
        </w:rPr>
        <w:t xml:space="preserve">or any single </w:t>
      </w:r>
      <w:r w:rsidR="002C040C" w:rsidRPr="006D1D42">
        <w:rPr>
          <w:lang w:val="en-GB"/>
        </w:rPr>
        <w:t xml:space="preserve">non-recurring </w:t>
      </w:r>
      <w:r w:rsidR="00A24921" w:rsidRPr="006D1D42">
        <w:rPr>
          <w:lang w:val="en-GB"/>
        </w:rPr>
        <w:t>expense</w:t>
      </w:r>
      <w:r w:rsidR="00881B3B" w:rsidRPr="006D1D42">
        <w:rPr>
          <w:lang w:val="en-GB"/>
        </w:rPr>
        <w:t xml:space="preserve"> which is</w:t>
      </w:r>
      <w:r w:rsidR="002C040C" w:rsidRPr="006D1D42">
        <w:rPr>
          <w:lang w:val="en-GB"/>
        </w:rPr>
        <w:t xml:space="preserve"> under 350</w:t>
      </w:r>
      <w:r w:rsidR="00A24921" w:rsidRPr="006D1D42">
        <w:rPr>
          <w:lang w:val="en-GB"/>
        </w:rPr>
        <w:t xml:space="preserve"> two</w:t>
      </w:r>
      <w:r w:rsidR="002C040C" w:rsidRPr="006D1D42">
        <w:rPr>
          <w:lang w:val="en-GB"/>
        </w:rPr>
        <w:t xml:space="preserve"> trustees</w:t>
      </w:r>
      <w:r w:rsidR="00881B3B" w:rsidRPr="006D1D42">
        <w:rPr>
          <w:lang w:val="en-GB"/>
        </w:rPr>
        <w:t xml:space="preserve"> must authorise this</w:t>
      </w:r>
      <w:r w:rsidR="00A24921" w:rsidRPr="006D1D42">
        <w:rPr>
          <w:lang w:val="en-GB"/>
        </w:rPr>
        <w:t xml:space="preserve"> in advance.</w:t>
      </w:r>
      <w:r w:rsidR="002C040C" w:rsidRPr="006D1D42">
        <w:rPr>
          <w:lang w:val="en-GB"/>
        </w:rPr>
        <w:t xml:space="preserve"> For any single non-recurring expense greater than 350 this should be agreed in the monthly meeting. In case of genuine emergencies the chairman or appointed delegate will have the power to commit funds subject to prior confirmation of adequate liquidity by the treasurer.</w:t>
      </w:r>
    </w:p>
    <w:p w:rsidR="00E03971" w:rsidRDefault="00A24921">
      <w:pPr>
        <w:rPr>
          <w:lang w:val="en-GB"/>
        </w:rPr>
      </w:pPr>
      <w:r w:rsidRPr="006D1D42">
        <w:rPr>
          <w:lang w:val="en-GB"/>
        </w:rPr>
        <w:t xml:space="preserve"> Email confirmation will be the usual method employed</w:t>
      </w:r>
      <w:r w:rsidR="00024D28" w:rsidRPr="006D1D42">
        <w:rPr>
          <w:lang w:val="en-GB"/>
        </w:rPr>
        <w:t xml:space="preserve"> to agree authorisation</w:t>
      </w:r>
      <w:r w:rsidR="00881B3B" w:rsidRPr="006D1D42">
        <w:rPr>
          <w:lang w:val="en-GB"/>
        </w:rPr>
        <w:t>. For variable expenditure such as electricity supply</w:t>
      </w:r>
      <w:r w:rsidR="00024D28" w:rsidRPr="006D1D42">
        <w:rPr>
          <w:lang w:val="en-GB"/>
        </w:rPr>
        <w:t xml:space="preserve"> and other seasonal expenses</w:t>
      </w:r>
      <w:r w:rsidR="00881B3B" w:rsidRPr="006D1D42">
        <w:rPr>
          <w:lang w:val="en-GB"/>
        </w:rPr>
        <w:t xml:space="preserve"> </w:t>
      </w:r>
      <w:r w:rsidR="00024D28" w:rsidRPr="006D1D42">
        <w:rPr>
          <w:lang w:val="en-GB"/>
        </w:rPr>
        <w:t xml:space="preserve">the above rule will not apply though there should be an annual check to ensure that LPVH are getting the best value for money </w:t>
      </w:r>
      <w:r w:rsidR="00024D28" w:rsidRPr="006D1D42">
        <w:rPr>
          <w:lang w:val="en-GB"/>
        </w:rPr>
        <w:lastRenderedPageBreak/>
        <w:t>from that supplier</w:t>
      </w:r>
      <w:r w:rsidR="002C040C" w:rsidRPr="006D1D42">
        <w:rPr>
          <w:lang w:val="en-GB"/>
        </w:rPr>
        <w:t>. Similarly sub contract labour expenses will be controlled through the use of contracts and timesheets and will be subject to annual review. See Appendix 1</w:t>
      </w:r>
      <w:r w:rsidR="00B430CA" w:rsidRPr="006D1D42">
        <w:rPr>
          <w:lang w:val="en-GB"/>
        </w:rPr>
        <w:t xml:space="preserve"> for authorisation structure</w:t>
      </w:r>
    </w:p>
    <w:p w:rsidR="00E03971" w:rsidRDefault="00E03971">
      <w:pPr>
        <w:rPr>
          <w:lang w:val="en-GB"/>
        </w:rPr>
      </w:pPr>
      <w:r w:rsidRPr="002C040C">
        <w:rPr>
          <w:b/>
          <w:lang w:val="en-GB"/>
        </w:rPr>
        <w:t>Documented</w:t>
      </w:r>
      <w:r w:rsidR="00A24921" w:rsidRPr="002C040C">
        <w:rPr>
          <w:b/>
          <w:lang w:val="en-GB"/>
        </w:rPr>
        <w:t xml:space="preserve">: </w:t>
      </w:r>
      <w:r w:rsidR="00881B3B">
        <w:rPr>
          <w:lang w:val="en-GB"/>
        </w:rPr>
        <w:t>All expenditure incurred must be supported by an appropriate document such as an invoice, voucher, bank document etc. These will be filed numerically within the year and retained for the statutory period of six years. The documentation should be addressed to the LPVH and should clearly describe the goods or services</w:t>
      </w:r>
      <w:r w:rsidR="00024D28">
        <w:rPr>
          <w:lang w:val="en-GB"/>
        </w:rPr>
        <w:t xml:space="preserve"> provided and the costs.</w:t>
      </w:r>
    </w:p>
    <w:p w:rsidR="00E03971" w:rsidRDefault="00E03971">
      <w:pPr>
        <w:rPr>
          <w:lang w:val="en-GB"/>
        </w:rPr>
      </w:pPr>
      <w:r w:rsidRPr="002C040C">
        <w:rPr>
          <w:b/>
          <w:lang w:val="en-GB"/>
        </w:rPr>
        <w:t>Recorded</w:t>
      </w:r>
      <w:r w:rsidR="00063BC5" w:rsidRPr="002C040C">
        <w:rPr>
          <w:b/>
          <w:lang w:val="en-GB"/>
        </w:rPr>
        <w:t>:</w:t>
      </w:r>
      <w:r w:rsidR="00063BC5">
        <w:rPr>
          <w:lang w:val="en-GB"/>
        </w:rPr>
        <w:t xml:space="preserve"> All expenditure must be correctly classified and recorded in the LPVH books of accounts and be reported on monthly to the LPVH committee. This will be in the form of an income and expenditure account with a comparison to budget and showing variances.</w:t>
      </w:r>
      <w:r w:rsidR="00024D28">
        <w:rPr>
          <w:lang w:val="en-GB"/>
        </w:rPr>
        <w:t xml:space="preserve"> It must always be possible to work back from the books of account to the underlying details when required.</w:t>
      </w:r>
      <w:r w:rsidR="00F3285F">
        <w:rPr>
          <w:lang w:val="en-GB"/>
        </w:rPr>
        <w:t xml:space="preserve"> Additionally the bank position will be reported each month along with the income and expenditure account.</w:t>
      </w:r>
    </w:p>
    <w:p w:rsidR="00E03971" w:rsidRDefault="00E03971">
      <w:pPr>
        <w:rPr>
          <w:lang w:val="en-GB"/>
        </w:rPr>
      </w:pPr>
      <w:r w:rsidRPr="002C040C">
        <w:rPr>
          <w:b/>
          <w:lang w:val="en-GB"/>
        </w:rPr>
        <w:t>Compliant</w:t>
      </w:r>
      <w:r w:rsidR="00024D28" w:rsidRPr="002C040C">
        <w:rPr>
          <w:b/>
          <w:lang w:val="en-GB"/>
        </w:rPr>
        <w:t>:</w:t>
      </w:r>
      <w:r w:rsidR="00F3285F">
        <w:rPr>
          <w:lang w:val="en-GB"/>
        </w:rPr>
        <w:t xml:space="preserve"> </w:t>
      </w:r>
      <w:r w:rsidR="00024D28">
        <w:rPr>
          <w:lang w:val="en-GB"/>
        </w:rPr>
        <w:t xml:space="preserve"> policy will be in complianc</w:t>
      </w:r>
      <w:r w:rsidR="00F3285F">
        <w:rPr>
          <w:lang w:val="en-GB"/>
        </w:rPr>
        <w:t>e in all major respects with the key requirements of CC8 Int</w:t>
      </w:r>
      <w:r w:rsidR="005C3F3C">
        <w:rPr>
          <w:lang w:val="en-GB"/>
        </w:rPr>
        <w:t>ernal Financial Controls</w:t>
      </w:r>
      <w:r w:rsidR="00F3285F">
        <w:rPr>
          <w:lang w:val="en-GB"/>
        </w:rPr>
        <w:t xml:space="preserve">. Additionally the Financial Checklist will be reviewed and signed off annually </w:t>
      </w:r>
    </w:p>
    <w:p w:rsidR="00B430CA" w:rsidRDefault="00B430CA">
      <w:pPr>
        <w:rPr>
          <w:lang w:val="en-GB"/>
        </w:rPr>
      </w:pPr>
    </w:p>
    <w:p w:rsidR="00B430CA" w:rsidRPr="006D1D42" w:rsidRDefault="00B430CA">
      <w:pPr>
        <w:rPr>
          <w:u w:val="single"/>
          <w:lang w:val="en-GB"/>
        </w:rPr>
      </w:pPr>
      <w:r w:rsidRPr="006D1D42">
        <w:rPr>
          <w:u w:val="single"/>
          <w:lang w:val="en-GB"/>
        </w:rPr>
        <w:t>Appendix 1 Authorisation table</w:t>
      </w:r>
    </w:p>
    <w:p w:rsidR="00B430CA" w:rsidRPr="006D1D42" w:rsidRDefault="00B430CA">
      <w:pPr>
        <w:rPr>
          <w:lang w:val="en-GB"/>
        </w:rPr>
      </w:pPr>
      <w:r w:rsidRPr="006D1D42">
        <w:rPr>
          <w:u w:val="single"/>
          <w:lang w:val="en-GB"/>
        </w:rPr>
        <w:t>Role</w:t>
      </w:r>
      <w:r w:rsidRPr="006D1D42">
        <w:rPr>
          <w:lang w:val="en-GB"/>
        </w:rPr>
        <w:tab/>
      </w:r>
      <w:r w:rsidRPr="006D1D42">
        <w:rPr>
          <w:lang w:val="en-GB"/>
        </w:rPr>
        <w:tab/>
      </w:r>
      <w:r w:rsidRPr="006D1D42">
        <w:rPr>
          <w:u w:val="single"/>
          <w:lang w:val="en-GB"/>
        </w:rPr>
        <w:t>to 350</w:t>
      </w:r>
      <w:r w:rsidRPr="006D1D42">
        <w:rPr>
          <w:lang w:val="en-GB"/>
        </w:rPr>
        <w:tab/>
      </w:r>
      <w:r w:rsidRPr="006D1D42">
        <w:rPr>
          <w:lang w:val="en-GB"/>
        </w:rPr>
        <w:tab/>
      </w:r>
      <w:r w:rsidRPr="006D1D42">
        <w:rPr>
          <w:u w:val="single"/>
          <w:lang w:val="en-GB"/>
        </w:rPr>
        <w:t>over 350</w:t>
      </w:r>
      <w:r w:rsidRPr="006D1D42">
        <w:rPr>
          <w:lang w:val="en-GB"/>
        </w:rPr>
        <w:tab/>
      </w:r>
      <w:r w:rsidRPr="006D1D42">
        <w:rPr>
          <w:lang w:val="en-GB"/>
        </w:rPr>
        <w:tab/>
      </w:r>
      <w:r w:rsidRPr="006D1D42">
        <w:rPr>
          <w:u w:val="single"/>
          <w:lang w:val="en-GB"/>
        </w:rPr>
        <w:t>Capital expenditure</w:t>
      </w:r>
    </w:p>
    <w:p w:rsidR="00B430CA" w:rsidRPr="006D1D42" w:rsidRDefault="00B430CA">
      <w:pPr>
        <w:rPr>
          <w:lang w:val="en-GB"/>
        </w:rPr>
      </w:pPr>
      <w:r w:rsidRPr="006D1D42">
        <w:rPr>
          <w:lang w:val="en-GB"/>
        </w:rPr>
        <w:t>Chairman</w:t>
      </w:r>
      <w:r w:rsidRPr="006D1D42">
        <w:rPr>
          <w:lang w:val="en-GB"/>
        </w:rPr>
        <w:tab/>
        <w:t>Y</w:t>
      </w:r>
      <w:r w:rsidRPr="006D1D42">
        <w:rPr>
          <w:lang w:val="en-GB"/>
        </w:rPr>
        <w:tab/>
      </w:r>
      <w:r w:rsidRPr="006D1D42">
        <w:rPr>
          <w:lang w:val="en-GB"/>
        </w:rPr>
        <w:tab/>
        <w:t>Full meeting</w:t>
      </w:r>
      <w:r w:rsidRPr="006D1D42">
        <w:rPr>
          <w:lang w:val="en-GB"/>
        </w:rPr>
        <w:tab/>
      </w:r>
      <w:r w:rsidRPr="006D1D42">
        <w:rPr>
          <w:lang w:val="en-GB"/>
        </w:rPr>
        <w:tab/>
        <w:t>Full meeting</w:t>
      </w:r>
    </w:p>
    <w:p w:rsidR="00B430CA" w:rsidRPr="006D1D42" w:rsidRDefault="00B430CA">
      <w:pPr>
        <w:rPr>
          <w:lang w:val="en-GB"/>
        </w:rPr>
      </w:pPr>
      <w:r w:rsidRPr="006D1D42">
        <w:rPr>
          <w:lang w:val="en-GB"/>
        </w:rPr>
        <w:t>Vice Chairman</w:t>
      </w:r>
      <w:r w:rsidRPr="006D1D42">
        <w:rPr>
          <w:lang w:val="en-GB"/>
        </w:rPr>
        <w:tab/>
        <w:t>Y</w:t>
      </w:r>
      <w:r w:rsidRPr="006D1D42">
        <w:rPr>
          <w:lang w:val="en-GB"/>
        </w:rPr>
        <w:tab/>
      </w:r>
      <w:r w:rsidRPr="006D1D42">
        <w:rPr>
          <w:lang w:val="en-GB"/>
        </w:rPr>
        <w:tab/>
      </w:r>
      <w:proofErr w:type="gramStart"/>
      <w:r w:rsidRPr="006D1D42">
        <w:rPr>
          <w:lang w:val="en-GB"/>
        </w:rPr>
        <w:t>Full</w:t>
      </w:r>
      <w:proofErr w:type="gramEnd"/>
      <w:r w:rsidRPr="006D1D42">
        <w:rPr>
          <w:lang w:val="en-GB"/>
        </w:rPr>
        <w:t xml:space="preserve"> meeting</w:t>
      </w:r>
      <w:r w:rsidRPr="006D1D42">
        <w:rPr>
          <w:lang w:val="en-GB"/>
        </w:rPr>
        <w:tab/>
      </w:r>
      <w:r w:rsidRPr="006D1D42">
        <w:rPr>
          <w:lang w:val="en-GB"/>
        </w:rPr>
        <w:tab/>
        <w:t>Full meeting</w:t>
      </w:r>
    </w:p>
    <w:p w:rsidR="00B430CA" w:rsidRPr="006D1D42" w:rsidRDefault="00B430CA">
      <w:pPr>
        <w:rPr>
          <w:lang w:val="en-GB"/>
        </w:rPr>
      </w:pPr>
      <w:r w:rsidRPr="006D1D42">
        <w:rPr>
          <w:lang w:val="en-GB"/>
        </w:rPr>
        <w:t>Secretary</w:t>
      </w:r>
      <w:r w:rsidRPr="006D1D42">
        <w:rPr>
          <w:lang w:val="en-GB"/>
        </w:rPr>
        <w:tab/>
        <w:t>Y</w:t>
      </w:r>
      <w:r w:rsidRPr="006D1D42">
        <w:rPr>
          <w:lang w:val="en-GB"/>
        </w:rPr>
        <w:tab/>
      </w:r>
      <w:r w:rsidRPr="006D1D42">
        <w:rPr>
          <w:lang w:val="en-GB"/>
        </w:rPr>
        <w:tab/>
        <w:t>Full meeting</w:t>
      </w:r>
      <w:r w:rsidRPr="006D1D42">
        <w:rPr>
          <w:lang w:val="en-GB"/>
        </w:rPr>
        <w:tab/>
      </w:r>
      <w:r w:rsidRPr="006D1D42">
        <w:rPr>
          <w:lang w:val="en-GB"/>
        </w:rPr>
        <w:tab/>
        <w:t>Full meeting</w:t>
      </w:r>
    </w:p>
    <w:p w:rsidR="00B430CA" w:rsidRPr="006D1D42" w:rsidRDefault="00B430CA">
      <w:pPr>
        <w:rPr>
          <w:lang w:val="en-GB"/>
        </w:rPr>
      </w:pPr>
    </w:p>
    <w:p w:rsidR="00B430CA" w:rsidRPr="006D1D42" w:rsidRDefault="00B430CA" w:rsidP="00B430CA">
      <w:pPr>
        <w:pStyle w:val="ListParagraph"/>
        <w:numPr>
          <w:ilvl w:val="0"/>
          <w:numId w:val="1"/>
        </w:numPr>
        <w:rPr>
          <w:lang w:val="en-GB"/>
        </w:rPr>
      </w:pPr>
      <w:r w:rsidRPr="006D1D42">
        <w:rPr>
          <w:lang w:val="en-GB"/>
        </w:rPr>
        <w:t>For expenses under 350 two of the three designated people must approve in advance</w:t>
      </w:r>
    </w:p>
    <w:p w:rsidR="00B430CA" w:rsidRPr="006D1D42" w:rsidRDefault="00B430CA" w:rsidP="00B430CA">
      <w:pPr>
        <w:pStyle w:val="ListParagraph"/>
        <w:numPr>
          <w:ilvl w:val="0"/>
          <w:numId w:val="1"/>
        </w:numPr>
        <w:rPr>
          <w:lang w:val="en-GB"/>
        </w:rPr>
      </w:pPr>
      <w:r w:rsidRPr="006D1D42">
        <w:rPr>
          <w:lang w:val="en-GB"/>
        </w:rPr>
        <w:t xml:space="preserve">For all expenses the Treasurer is to be informed by Email of the amount committed </w:t>
      </w:r>
    </w:p>
    <w:p w:rsidR="00B430CA" w:rsidRPr="006D1D42" w:rsidRDefault="00B430CA" w:rsidP="00B430CA">
      <w:pPr>
        <w:pStyle w:val="ListParagraph"/>
        <w:numPr>
          <w:ilvl w:val="0"/>
          <w:numId w:val="1"/>
        </w:numPr>
        <w:rPr>
          <w:lang w:val="en-GB"/>
        </w:rPr>
      </w:pPr>
      <w:r w:rsidRPr="006D1D42">
        <w:rPr>
          <w:lang w:val="en-GB"/>
        </w:rPr>
        <w:t>For expenses over 350 and for Capital Expenditure three quotes should always be obtained</w:t>
      </w:r>
    </w:p>
    <w:p w:rsidR="00B430CA" w:rsidRPr="006D1D42" w:rsidRDefault="00B430CA" w:rsidP="00B430CA">
      <w:pPr>
        <w:pStyle w:val="ListParagraph"/>
        <w:numPr>
          <w:ilvl w:val="0"/>
          <w:numId w:val="1"/>
        </w:numPr>
        <w:rPr>
          <w:lang w:val="en-GB"/>
        </w:rPr>
      </w:pPr>
      <w:r w:rsidRPr="006D1D42">
        <w:rPr>
          <w:lang w:val="en-GB"/>
        </w:rPr>
        <w:t>Emergency expenditure – can be authorised by the Chairman after consultation with the treasurer</w:t>
      </w:r>
    </w:p>
    <w:p w:rsidR="007B24A6" w:rsidRPr="007B24A6" w:rsidRDefault="007B24A6" w:rsidP="007B24A6">
      <w:pPr>
        <w:rPr>
          <w:lang w:val="en-GB"/>
        </w:rPr>
      </w:pPr>
      <w:r w:rsidRPr="007B24A6">
        <w:rPr>
          <w:lang w:val="en-GB"/>
        </w:rPr>
        <w:t>All figures are in Sterling</w:t>
      </w:r>
    </w:p>
    <w:p w:rsidR="00FE1815" w:rsidRPr="00FE1815" w:rsidRDefault="004E217F">
      <w:pPr>
        <w:rPr>
          <w:lang w:val="en-GB"/>
        </w:rPr>
      </w:pPr>
      <w:r>
        <w:rPr>
          <w:lang w:val="en-GB"/>
        </w:rPr>
        <w:t xml:space="preserve"> </w:t>
      </w:r>
    </w:p>
    <w:p w:rsidR="00FE1815" w:rsidRPr="00FE1815" w:rsidRDefault="00FE1815">
      <w:pPr>
        <w:rPr>
          <w:lang w:val="en-GB"/>
        </w:rPr>
      </w:pPr>
    </w:p>
    <w:sectPr w:rsidR="00FE1815" w:rsidRPr="00FE18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F3032F"/>
    <w:multiLevelType w:val="hybridMultilevel"/>
    <w:tmpl w:val="D52C93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15"/>
    <w:rsid w:val="00024D28"/>
    <w:rsid w:val="00063BC5"/>
    <w:rsid w:val="00244665"/>
    <w:rsid w:val="002C040C"/>
    <w:rsid w:val="003D5BDE"/>
    <w:rsid w:val="004479F3"/>
    <w:rsid w:val="004E217F"/>
    <w:rsid w:val="005A63DE"/>
    <w:rsid w:val="005C3F3C"/>
    <w:rsid w:val="006D1D42"/>
    <w:rsid w:val="007B24A6"/>
    <w:rsid w:val="00835835"/>
    <w:rsid w:val="00881B3B"/>
    <w:rsid w:val="00A24921"/>
    <w:rsid w:val="00A963D7"/>
    <w:rsid w:val="00B04FFE"/>
    <w:rsid w:val="00B430CA"/>
    <w:rsid w:val="00C73E94"/>
    <w:rsid w:val="00E03971"/>
    <w:rsid w:val="00E54CA8"/>
    <w:rsid w:val="00F3285F"/>
    <w:rsid w:val="00FE18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28853-861E-4DE1-8E12-0D1B0C60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Kelly</dc:creator>
  <cp:keywords/>
  <dc:description/>
  <cp:lastModifiedBy>Brian Kelly</cp:lastModifiedBy>
  <cp:revision>18</cp:revision>
  <dcterms:created xsi:type="dcterms:W3CDTF">2017-12-24T09:43:00Z</dcterms:created>
  <dcterms:modified xsi:type="dcterms:W3CDTF">2018-01-20T12:37:00Z</dcterms:modified>
</cp:coreProperties>
</file>